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Licitaciones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 </w:t>
      </w:r>
      <w:r>
        <w:rPr>
          <w:b w:val="1"/>
          <w:bCs w:val="1"/>
        </w:rPr>
        <w:t xml:space="preserve">“Empresa Provincial de Aguas de Córdoba S.A.” </w:t>
      </w:r>
      <w:r>
        <w:rPr/>
        <w:t xml:space="preserve">en organización contratante. Se desplegarán tres perfiles: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 seleccionar </w:t>
      </w:r>
      <w:r>
        <w:rPr>
          <w:b w:val="1"/>
          <w:bCs w:val="1"/>
        </w:rPr>
        <w:t xml:space="preserve">“Empresa Provincial de Aguas de Córdoba S.A.</w:t>
      </w:r>
      <w:r>
        <w:rPr>
          <w:b w:val="1"/>
          <w:bCs w:val="1"/>
        </w:rPr>
        <w:t xml:space="preserve">” </w:t>
      </w:r>
      <w:r>
        <w:rPr/>
        <w:t xml:space="preserve">en organización contratante. Se desplegarán tres perfiles: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2026-09-24T22:17:07+00:00</dcterms:created>
  <dcterms:modified xsi:type="dcterms:W3CDTF">2026-09-24T22:17:07+00:00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