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Año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2023</w:t>
            </w:r>
          </w:p>
        </w:tc>
        <w:tc>
          <w:tcPr/>
          <w:p>
            <w:pPr/>
            <w:r>
              <w:rPr/>
              <w:t xml:space="preserve">Memoria 2022 y Acciones Formativas PRL 2023</w:t>
            </w:r>
          </w:p>
        </w:tc>
        <w:tc>
          <w:tcPr/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2026-06-25T19:20:12+00:00</dcterms:created>
  <dcterms:modified xsi:type="dcterms:W3CDTF">2026-06-25T19:20:12+00:00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